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F8" w:rsidRPr="00100BC8" w:rsidRDefault="00E402F8" w:rsidP="00100BC8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0BC8">
        <w:rPr>
          <w:rFonts w:ascii="Times New Roman" w:hAnsi="Times New Roman"/>
          <w:b/>
          <w:sz w:val="28"/>
          <w:szCs w:val="28"/>
          <w:u w:val="single"/>
        </w:rPr>
        <w:t>SOLICITAMOS INDAGATORIAS – SE ORDENEN DETENCIONES INTERNACIONALES</w:t>
      </w:r>
    </w:p>
    <w:p w:rsidR="00E402F8" w:rsidRPr="00100BC8" w:rsidRDefault="00E402F8" w:rsidP="00100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Señora Juez:</w:t>
      </w:r>
    </w:p>
    <w:p w:rsidR="00E402F8" w:rsidRPr="00100BC8" w:rsidRDefault="007039CF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Ricardo Daniel Huñis </w:t>
      </w:r>
      <w:bookmarkStart w:id="0" w:name="_GoBack"/>
      <w:bookmarkEnd w:id="0"/>
      <w:r w:rsidR="00E402F8" w:rsidRPr="00100BC8">
        <w:rPr>
          <w:rFonts w:ascii="Times New Roman" w:hAnsi="Times New Roman"/>
          <w:sz w:val="28"/>
          <w:szCs w:val="28"/>
        </w:rPr>
        <w:t xml:space="preserve">y Máximo Castex, por la querella, manteniendo el domicilio legal constituido en Av. Corrientes 1515, Piso 2º “A”, de esta ciudad, en la </w:t>
      </w:r>
      <w:r w:rsidR="00E402F8" w:rsidRPr="00100BC8">
        <w:rPr>
          <w:rFonts w:ascii="Times New Roman" w:hAnsi="Times New Roman"/>
          <w:b/>
          <w:bCs/>
          <w:sz w:val="28"/>
          <w:szCs w:val="28"/>
        </w:rPr>
        <w:t>causa Nº 4.591/10</w:t>
      </w:r>
      <w:r w:rsidR="00E402F8" w:rsidRPr="00100BC8">
        <w:rPr>
          <w:rFonts w:ascii="Times New Roman" w:hAnsi="Times New Roman"/>
          <w:sz w:val="28"/>
          <w:szCs w:val="28"/>
        </w:rPr>
        <w:t xml:space="preserve">, caratulada </w:t>
      </w:r>
      <w:r w:rsidR="00E402F8" w:rsidRPr="00100BC8">
        <w:rPr>
          <w:rFonts w:ascii="Times New Roman" w:hAnsi="Times New Roman"/>
          <w:b/>
          <w:bCs/>
          <w:sz w:val="28"/>
          <w:szCs w:val="28"/>
        </w:rPr>
        <w:t>“N.N S/ GENOCIDIO”</w:t>
      </w:r>
      <w:r w:rsidR="00E402F8" w:rsidRPr="00100BC8">
        <w:rPr>
          <w:rFonts w:ascii="Times New Roman" w:hAnsi="Times New Roman"/>
          <w:sz w:val="28"/>
          <w:szCs w:val="28"/>
        </w:rPr>
        <w:t>, a V.S. decimos: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 xml:space="preserve">Conforme a los antecedentes de cargo que a continuación se enunciarán, entendemos que  existen motivos suficientes para que V.S. proceda conforme con el art. 294 del C.P.P.N. y, a tales fines, dicte órdenes internacionales de detención respecto de </w:t>
      </w:r>
      <w:r w:rsidRPr="00100BC8">
        <w:rPr>
          <w:rFonts w:ascii="Times New Roman" w:hAnsi="Times New Roman"/>
          <w:b/>
          <w:sz w:val="28"/>
          <w:szCs w:val="28"/>
        </w:rPr>
        <w:t>Rodolfo Martín Villa, José Utrera Molina, Fernando Suárez González, Rafael Gómez Chaparro Aguado, Jesús Cejas Mohedano, Juan Antonio González Pacheco, José Ignacio Giralte González, Celso Galván Abascal y Jesús Muñecas Aguilar</w:t>
      </w:r>
      <w:r w:rsidRPr="00100BC8">
        <w:rPr>
          <w:rFonts w:ascii="Times New Roman" w:hAnsi="Times New Roman"/>
          <w:sz w:val="28"/>
          <w:szCs w:val="28"/>
        </w:rPr>
        <w:t>,</w:t>
      </w:r>
      <w:r w:rsidRPr="00100BC8">
        <w:rPr>
          <w:rFonts w:ascii="Times New Roman" w:hAnsi="Times New Roman"/>
          <w:b/>
          <w:sz w:val="28"/>
          <w:szCs w:val="28"/>
        </w:rPr>
        <w:t xml:space="preserve"> </w:t>
      </w:r>
      <w:r w:rsidRPr="00100BC8">
        <w:rPr>
          <w:rFonts w:ascii="Times New Roman" w:hAnsi="Times New Roman"/>
          <w:sz w:val="28"/>
          <w:szCs w:val="28"/>
        </w:rPr>
        <w:t>a efectos de que sean detenidos por la Organización Internacional de Policía Criminal (INTERPOL) y luego sean extraditados.</w:t>
      </w:r>
      <w:r w:rsidRPr="00100BC8">
        <w:rPr>
          <w:rFonts w:ascii="Times New Roman" w:hAnsi="Times New Roman"/>
          <w:b/>
          <w:sz w:val="28"/>
          <w:szCs w:val="28"/>
        </w:rPr>
        <w:t xml:space="preserve"> </w:t>
      </w:r>
    </w:p>
    <w:p w:rsidR="00E402F8" w:rsidRPr="00100BC8" w:rsidRDefault="00E402F8" w:rsidP="00100BC8">
      <w:pPr>
        <w:pStyle w:val="BodyTextIndent"/>
        <w:spacing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En primer lugar, los hechos denunciados ya se encuentran acreditados con distintos testimonios concurrentes acompañados a las presentes actuaciones y, de los datos que se exponen en el presente escrito, surge la responsabilidad criminal de los nombrados en algunos de los hechos que aquí se investigan.</w:t>
      </w:r>
    </w:p>
    <w:p w:rsidR="00E402F8" w:rsidRPr="00100BC8" w:rsidRDefault="00E402F8" w:rsidP="00100BC8">
      <w:pPr>
        <w:pStyle w:val="BodyTextIndent"/>
        <w:spacing w:line="360" w:lineRule="auto"/>
        <w:ind w:left="0" w:firstLine="1418"/>
        <w:jc w:val="both"/>
        <w:rPr>
          <w:rFonts w:ascii="Times New Roman" w:hAnsi="Times New Roman"/>
          <w:b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A continuación informamos los datos de identificación personal de los imputados, las funciones que desempeñaron durante el régimen franquista y los hechos delictivos que se les imputan.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039CF" w:rsidRDefault="007039CF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039CF" w:rsidRDefault="007039CF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039CF" w:rsidRPr="00100BC8" w:rsidRDefault="007039CF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lastRenderedPageBreak/>
        <w:t xml:space="preserve">6) </w:t>
      </w:r>
      <w:r w:rsidRPr="00100BC8">
        <w:rPr>
          <w:rFonts w:ascii="Times New Roman" w:hAnsi="Times New Roman"/>
          <w:b/>
          <w:sz w:val="28"/>
          <w:szCs w:val="28"/>
          <w:u w:val="single"/>
        </w:rPr>
        <w:t>JUAN ANTONIO GONZÁLEZ PACHECO (alias Billy el niño)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>Procesos: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1973. Querella por lesiones interpuesta por Enrique Aguilar Benítez de Lugo, por la que fue condenado a una pequeña multa.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1974. Condenado por el Juzgado Municipal 19 de Madrid por una falta de malos tratos y coacciones en la persona de Francisco Lobatón Sánchez de Medina. Por lo que fue condenado a 1 día de arresto y multa de 1.000 pesetas.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Fue sobreseído en otros procesos por aplicación de la ley 47/1977 (de Amnistía).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>Historial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Hasta su disolución en 1976, forma parte de la Brigada Político Social (policía política del régimen franquista).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En 1977 trasladado a la Brigada Central de Información, que más tarde daría lugar a la Brigada Antiterrorista donde actúa como segundo de Roberto Conesa, que también fue su superior en la BPS.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 xml:space="preserve">El 01.07.1977 el Ministro del Interior, Rodolfo Martín Villa, le condecora con la Medalla de Plata al Mérito Policial. 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09.06.1979 declara ante el Juzgado de Instrucción Central Nº 3 de la Audiencia Nacional, cuyo juez Alfonso Barcala Trillo de Figueroa le llama a declarar por su relación con los asesinatos de la calle Atocha.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 xml:space="preserve">En julio de 1977 se le organiza una cena homenaje, “como desagravio a la persecución de la que es objeto por parte de algunos medios de comunicación”. Asisten cien policías, entre ellos Manuel Ballesteros que será Jefe del Mando Único de la Lucha Antiterrorista. 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lastRenderedPageBreak/>
        <w:t>El 21.12.1980 Declara ante la Sala de lo Penal de la Audiencia Nacional en relación a los asesinatos cometidos en Francia por ATE (Antiterrorismo ETA) y BVE (Batallón Vasco Español).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02.06.1981 es separado de la lucha antiterrorista y se le traslada a la Brigada Central de la Comisaría General de la Policía Judicial.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15.10.1981, tras el golpe de Tejero, se forma una Brigada Antigolpe de la policía a partir de gente del grupo de Billy el niño en la Brigada Antiterrorista (casi todos antiguos miembros de la BPS). Inútil señalar que jamás detuvo a nadie.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0BC8">
        <w:rPr>
          <w:rFonts w:ascii="Times New Roman" w:hAnsi="Times New Roman"/>
          <w:b/>
          <w:sz w:val="28"/>
          <w:szCs w:val="28"/>
          <w:u w:val="single"/>
        </w:rPr>
        <w:t>TRATADO DE EXTRADICIÓN Y ASISTENCIA JUDICIAL EN MATERIA PENAL ENTRE LA  REPÚBLICA ARGENTINA Y EL REINO DE ESPAÑA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Todas las personas cuya imputación y detención a efectos de que presten declaración indagatoria se solicita en el presente escrito, tienen fijada su residencia en España. Por tal motivo, y sin perjuicio del dictado de órdenes internacionales para que sean detenidos allí donde se encuentren, procede que V.S. curse específicamente a las autoridades españolas pedido de detención, en el marco del procedimiento de extradición previsto en el Tratado de Extradición y Asistencia Judicial en materia penal celebrado entre la República Argentina y el Reino de España el 3 de marzo de 1987 y  ratificado por España el 26 de febrero de 1990.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Dicho Tratado, en su  artículo l º, dice: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“Las Partes contratantes se obligan a entregarse recíprocamente, según las reglas y condiciones establecidas en los artículos siguientes, las personas a quienes las autoridades judiciales de una de las Partes persiguieren por algún delito o buscaren para la ejecución de una pena o medida de seguridad que consista en privación de libertad”.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texto del  artículo 3 señala que darán lugar a extradición conforme al Tratado “los delitos incluidos en convenios multilaterales en los que ambos países sean Parte”.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lastRenderedPageBreak/>
        <w:t>Esta disposición se vincula con nuestra referencia a la Convención contra el Genocidio y a la Convención contra la Tortura.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artículo 10 del Tratado señala que la extradición podrá ser concedida cuando la parte requirente diese seguridades de que la pena máxima a cumplir será la inmediatamente inferior en grado a la pena de prisión a perpetuidad, cuando ésta fuera la que procediera conforme a su legislación.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Se solicitará que así se disponga.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artículo 11, en su apartado a), establece que podrá ser denegada la extradición cuando fueren competentes los tribunales de la parte requerida, salvo cuando ésta haya decidido o decidiese no iniciar proceso o poner fin al que estuviese tramitando.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Como es notorio, y ya ha sido puesto de manifiesto y acreditado reiteradamente, esta última es la situación en España en relación con los delitos que se investigan en la presente causa.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apartado b) del mismo artículo dispone que la extradición podrá igualmente ser denegada cuando el delito se hubiere cometido fuera del territorio de la parte requirente y la ley de la parte requerida no autorizase la persecución de un delito de la misma especie cometido fuera de su territorio.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Esta situación no concurre en el presente caso, no sólo por la naturaleza de crímenes internacionales afectos de extradición en cualquier caso, sino, además, porque en España la Ley Orgánica 6/1985, de 1º de julio, del Poder Judicial, establece en su artículo 23.4 la jurisdicción universal para la persecución de determinados delitos, entre otros los de genocidio y los de lesa humanidad.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artículo 15 del Tratado se refiere concretamente a la solicitud de extradición.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párrafo 1 de dicho artículo 15 indica que la solicitud de extradición se formalizará por escrito y será transmitida por vía diplomática.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lastRenderedPageBreak/>
        <w:t>En su párrafo 2 determina la documentación que debe acompañarla.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Su apartado a) señala que debe adjuntarse, en lo que a la presente petición importa, copia del auto de prisión o resolución análoga, según la legislación de la parte requirente, con relación sumaria de los hechos y lugar y fecha en que se cometieron.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Los hechos imputados y el lugar y fecha, precisa en algunos casos y aproximada en otros, se han expuesto en el presente escrito.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apartado b) establece que deben exponerse cuantos datos sean conocidos sobre la identidad, nacionalidad y residencia de los sujetos reclamados y, si fuera posible, sus fotografías y huellas dactilares.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Se acompañan con el presente escrito los datos personales conocidos por esta parte, así como fotografía de algunos cuya imputación y detención se solicita.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Su apartado c) estipula que deben unirse copia o transcripción de los textos legales que tipifican y sancionan el delito con expresión de las penas o medidas de seguridad aplicables, las que establecen la competencia de la parte requirente y las referentes a la prescripción de la acción y de la pena o medida de seguridad.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Se han señalado las disposiciones aplicables del Código Penal y del Código Procesal de la Nación así como las penas aplicables.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La jurisdicción de los Tribunales argentinos para supuestos como el presente viene establecida por el artículo 118 de la Constitución Nacional y la competencia atribuida, por el artículo 5 de la ley 26.200 sancionada el 13 de diciembre de 2006, a los tribunales federales con competencia en lo penal.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 xml:space="preserve">Los crímenes que se investigan en la presente causa tienen el carácter de imprescriptibles, como señala reiterada doctrina de nuestros tribunales inferiores y de la Corte Suprema, conforme viene establecido en el Derecho Internacional y el carácter de norma de </w:t>
      </w:r>
      <w:r w:rsidRPr="00100BC8">
        <w:rPr>
          <w:rFonts w:ascii="Times New Roman" w:hAnsi="Times New Roman"/>
          <w:i/>
          <w:sz w:val="28"/>
          <w:szCs w:val="28"/>
        </w:rPr>
        <w:t>ius cogens</w:t>
      </w:r>
      <w:r w:rsidRPr="00100BC8">
        <w:rPr>
          <w:rFonts w:ascii="Times New Roman" w:hAnsi="Times New Roman"/>
          <w:sz w:val="28"/>
          <w:szCs w:val="28"/>
        </w:rPr>
        <w:t xml:space="preserve"> de la Convención sobre imprescriptibilidad de crímenes de guerra, lesa </w:t>
      </w:r>
      <w:r w:rsidRPr="00100BC8">
        <w:rPr>
          <w:rFonts w:ascii="Times New Roman" w:hAnsi="Times New Roman"/>
          <w:sz w:val="28"/>
          <w:szCs w:val="28"/>
        </w:rPr>
        <w:lastRenderedPageBreak/>
        <w:t xml:space="preserve">humanidad y genocidio de 26 de noviembre de 1968 y su aplicación </w:t>
      </w:r>
      <w:r w:rsidRPr="00100BC8">
        <w:rPr>
          <w:rFonts w:ascii="Times New Roman" w:hAnsi="Times New Roman"/>
          <w:i/>
          <w:sz w:val="28"/>
          <w:szCs w:val="28"/>
        </w:rPr>
        <w:t>erga omnes</w:t>
      </w:r>
      <w:r w:rsidRPr="00100BC8">
        <w:rPr>
          <w:rFonts w:ascii="Times New Roman" w:hAnsi="Times New Roman"/>
          <w:sz w:val="28"/>
          <w:szCs w:val="28"/>
        </w:rPr>
        <w:t>. En el Código Penal español viene así establecido expresamente en el artículo 131.4.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apartado d) reitera que la parte requirente debe dar seguridades de que se aplicará en su caso la pena inmediatamente inferior en grado si a los imputados les correspondiera una pena privativa de libertad a perpetuidad.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Se solicitará expresamente que así se garantice.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párrafo 1 del artículo 24 del Tratado dispone que las autoridades competentes de la parte requirente podrán solicitar, en caso de urgencia, la detención preventiva a la parte requerida.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La gravedad de los delitos cometidos por una parte y, por otra, la posibilidad cierta de que los imputados, al tener conocimiento del pedido, pretendan previsiblemente sustraerse a la acción de la justicia, abonan la necesidad y urgencia de que sean detenidos en tanto se tramita la solicitud de extradición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El párrafo 2 del artículo 24 establece que con el pedido de detención preventiva se deberá acompañar copia del auto de prisión o resolución análoga haciendo constar la intención de cursar seguidamente una solicitud de extradición, haciéndose mención al delito por que se solicitará, el tiempo y lugar de su comisión y, en la medida de lo posible, la filiación de la persona reclamada.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Como se ha señalado, los datos requeridos por esta disposición se aportan con el presente escrito.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Finalmente, el párrafo 3 alude a las distintas modalidades en que puede remitirse la solicitud de detención preventiva.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A esta disposición nos remitimos debiendo V.S. decidir la que entienda más adecuada para el fin propuesto.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Por todo lo expuesto, solicitamos:</w:t>
      </w:r>
    </w:p>
    <w:p w:rsidR="00E402F8" w:rsidRPr="00100BC8" w:rsidRDefault="00E402F8" w:rsidP="00100BC8">
      <w:pPr>
        <w:pStyle w:val="ListParagraph"/>
        <w:spacing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lastRenderedPageBreak/>
        <w:t>1)</w:t>
      </w:r>
      <w:r w:rsidRPr="00100BC8">
        <w:rPr>
          <w:rFonts w:ascii="Times New Roman" w:hAnsi="Times New Roman"/>
          <w:sz w:val="28"/>
          <w:szCs w:val="28"/>
        </w:rPr>
        <w:t xml:space="preserve"> Se fijen audiencias indagatorias a tenor lo dispuesto por el art. 294 del CPPN, respecto de los Sres. </w:t>
      </w:r>
      <w:r w:rsidRPr="00100BC8">
        <w:rPr>
          <w:rFonts w:ascii="Times New Roman" w:hAnsi="Times New Roman"/>
          <w:b/>
          <w:sz w:val="28"/>
          <w:szCs w:val="28"/>
        </w:rPr>
        <w:t>Rodolfo Martín Villa, José Utrera Molina, Fernando Suárez González, Jesús Cejas Mohedano, Rafael Gómez Chaparro Aguado, Juan Antonio González Pacheco, José Ignacio Giralte González, Celso Galván Abascal y Jesús Muñecas Abascal</w:t>
      </w:r>
      <w:r w:rsidRPr="00100BC8">
        <w:rPr>
          <w:rFonts w:ascii="Times New Roman" w:hAnsi="Times New Roman"/>
          <w:sz w:val="28"/>
          <w:szCs w:val="28"/>
        </w:rPr>
        <w:t>, por la comisión de los delitos que aquí se le imputan;</w:t>
      </w:r>
    </w:p>
    <w:p w:rsidR="00E402F8" w:rsidRPr="00100BC8" w:rsidRDefault="00E402F8" w:rsidP="00100BC8">
      <w:pPr>
        <w:pStyle w:val="ListParagraph"/>
        <w:spacing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>2)</w:t>
      </w:r>
      <w:r w:rsidRPr="00100BC8">
        <w:rPr>
          <w:rFonts w:ascii="Times New Roman" w:hAnsi="Times New Roman"/>
          <w:sz w:val="28"/>
          <w:szCs w:val="28"/>
        </w:rPr>
        <w:t xml:space="preserve"> Se dicte orden de detención a efectos de que los mismos sean llevados a presencia de V.S. para que presten declaración indagatoria;</w:t>
      </w:r>
    </w:p>
    <w:p w:rsidR="00E402F8" w:rsidRPr="00100BC8" w:rsidRDefault="00E402F8" w:rsidP="00100BC8">
      <w:pPr>
        <w:pStyle w:val="ListParagraph"/>
        <w:spacing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>3)</w:t>
      </w:r>
      <w:r w:rsidRPr="00100BC8">
        <w:rPr>
          <w:rFonts w:ascii="Times New Roman" w:hAnsi="Times New Roman"/>
          <w:sz w:val="28"/>
          <w:szCs w:val="28"/>
        </w:rPr>
        <w:t xml:space="preserve"> Se libren órdenes internacionales con igual propósito para que, por medio de INTERPOL, sean detenidos adonde sean hallados con mención de que, a partir de ese momento, se cursará pedido de extradición a las autoridades del país en que se encuentren;</w:t>
      </w:r>
    </w:p>
    <w:p w:rsidR="00E402F8" w:rsidRPr="00100BC8" w:rsidRDefault="00E402F8" w:rsidP="00100BC8">
      <w:pPr>
        <w:pStyle w:val="ListParagraph"/>
        <w:spacing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>4)</w:t>
      </w:r>
      <w:r w:rsidRPr="00100BC8">
        <w:rPr>
          <w:rFonts w:ascii="Times New Roman" w:hAnsi="Times New Roman"/>
          <w:sz w:val="28"/>
          <w:szCs w:val="28"/>
        </w:rPr>
        <w:t xml:space="preserve"> Se curse solicitud de prisión preventiva específicamente al Reino de España, a través de cualquiera de las modalidades previstas en el artículo 24.3 del Tratado de Extradición entre Argentina y España, señalando a sus autoridades que se diligenciará seguidamente solicitud de extradición por vía diplomática. Se acompañe con dicha solicitud la orden de detención haciendo mención a los delitos cometidos, el tiempo y lugar en fueron perpetrados y los datos de filiación de los reclamados como exige el párrafo 2 del artículo 24 del Tratado. Se ofrezcan seguridades de que, en los casos en que corresponda pena privativa de libertad a perpetuidad, se aplicará la pena inferior en grado. 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Proveer de conformidad que,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>Será justicia</w:t>
      </w:r>
    </w:p>
    <w:p w:rsidR="00E402F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Default="00E402F8" w:rsidP="007B413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7B4134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3975100" cy="2959100"/>
            <wp:effectExtent l="0" t="0" r="12700" b="12700"/>
            <wp:docPr id="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Jesús Muñecas Aguilar (primero por la derecha) en el 23F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7B4134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33CC"/>
          <w:sz w:val="28"/>
          <w:szCs w:val="28"/>
          <w:lang w:val="en-US"/>
        </w:rPr>
        <w:lastRenderedPageBreak/>
        <w:drawing>
          <wp:inline distT="0" distB="0" distL="0" distR="0">
            <wp:extent cx="3340100" cy="4419600"/>
            <wp:effectExtent l="0" t="0" r="12700" b="0"/>
            <wp:docPr id="2" name="Imagen 15" descr="Archivo:Muñeca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Archivo:Muñeca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A la derecha Jesús Muñecas Aguilar, en la actualidad</w:t>
      </w:r>
    </w:p>
    <w:p w:rsidR="00E402F8" w:rsidRPr="00100BC8" w:rsidRDefault="007B4134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549900" cy="3632200"/>
            <wp:effectExtent l="0" t="0" r="12700" b="0"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Martín Villa, en el centro, haciendo el saludo fascista</w:t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7B4134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921000" cy="4394200"/>
            <wp:effectExtent l="0" t="0" r="0" b="0"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Rodolfo Martín Villa en la actualidad</w:t>
      </w:r>
    </w:p>
    <w:p w:rsidR="00E402F8" w:rsidRPr="00100BC8" w:rsidRDefault="007B4134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color w:val="660000"/>
          <w:sz w:val="28"/>
          <w:szCs w:val="28"/>
        </w:rPr>
      </w:pPr>
      <w:r>
        <w:rPr>
          <w:rFonts w:ascii="Times New Roman" w:hAnsi="Times New Roman"/>
          <w:noProof/>
          <w:color w:val="660000"/>
          <w:sz w:val="28"/>
          <w:szCs w:val="28"/>
          <w:lang w:val="en-US"/>
        </w:rPr>
        <w:drawing>
          <wp:inline distT="0" distB="0" distL="0" distR="0">
            <wp:extent cx="4216400" cy="2819400"/>
            <wp:effectExtent l="0" t="0" r="0" b="0"/>
            <wp:docPr id="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Imagen actual de José Utrera Molina</w:t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7B4134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val="en-US"/>
        </w:rPr>
        <w:lastRenderedPageBreak/>
        <w:drawing>
          <wp:inline distT="0" distB="0" distL="0" distR="0">
            <wp:extent cx="3403600" cy="3810000"/>
            <wp:effectExtent l="0" t="0" r="0" b="0"/>
            <wp:docPr id="6" name="Imagen 11" descr="Archivo:Jose Utrera Molin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Archivo:Jose Utrera Molin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7B4134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>
            <wp:extent cx="2451100" cy="4127500"/>
            <wp:effectExtent l="0" t="0" r="12700" b="12700"/>
            <wp:docPr id="7" name="Imagen 10" descr="Fernando Suárez, en su despacho de Madr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ernando Suárez, en su despacho de Madrid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00BC8">
        <w:rPr>
          <w:rFonts w:ascii="Times New Roman" w:hAnsi="Times New Roman"/>
          <w:color w:val="000000"/>
          <w:sz w:val="28"/>
          <w:szCs w:val="28"/>
        </w:rPr>
        <w:t>Imagen de Fernando Suárez González en 2010</w:t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2F8" w:rsidRPr="00100BC8" w:rsidRDefault="007B4134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794000" cy="4064000"/>
            <wp:effectExtent l="0" t="0" r="0" b="0"/>
            <wp:docPr id="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>Juan Antonio González Pacheco, a finales de los años setenta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pStyle w:val="Heading1"/>
        <w:spacing w:line="360" w:lineRule="auto"/>
        <w:ind w:firstLine="1418"/>
        <w:jc w:val="both"/>
        <w:rPr>
          <w:sz w:val="28"/>
          <w:szCs w:val="28"/>
        </w:rPr>
      </w:pPr>
      <w:r w:rsidRPr="00100BC8">
        <w:rPr>
          <w:sz w:val="28"/>
          <w:szCs w:val="28"/>
        </w:rPr>
        <w:br w:type="page"/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pStyle w:val="BodyText"/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 xml:space="preserve">  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color w:val="FF0000"/>
          <w:sz w:val="28"/>
          <w:szCs w:val="28"/>
        </w:rPr>
      </w:pPr>
      <w:r w:rsidRPr="00100BC8">
        <w:rPr>
          <w:rFonts w:ascii="Times New Roman" w:hAnsi="Times New Roman"/>
          <w:color w:val="FF0000"/>
          <w:sz w:val="28"/>
          <w:szCs w:val="28"/>
        </w:rPr>
        <w:lastRenderedPageBreak/>
        <w:t xml:space="preserve">  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00BC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00BC8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color w:val="FF0000"/>
          <w:sz w:val="28"/>
          <w:szCs w:val="28"/>
        </w:rPr>
      </w:pPr>
      <w:r w:rsidRPr="00100B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00BC8">
        <w:rPr>
          <w:rFonts w:ascii="Times New Roman" w:hAnsi="Times New Roman"/>
          <w:sz w:val="28"/>
          <w:szCs w:val="28"/>
        </w:rPr>
        <w:t xml:space="preserve"> 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 xml:space="preserve"> 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 w:rsidRPr="00100BC8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02F8" w:rsidRPr="00100BC8" w:rsidRDefault="00E402F8" w:rsidP="00100BC8">
      <w:pPr>
        <w:spacing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sectPr w:rsidR="00E402F8" w:rsidRPr="00100BC8" w:rsidSect="00070B2F">
      <w:footerReference w:type="even" r:id="rId18"/>
      <w:footerReference w:type="default" r:id="rId19"/>
      <w:pgSz w:w="12242" w:h="20163" w:code="5"/>
      <w:pgMar w:top="226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77" w:rsidRDefault="00964877">
      <w:r>
        <w:separator/>
      </w:r>
    </w:p>
  </w:endnote>
  <w:endnote w:type="continuationSeparator" w:id="0">
    <w:p w:rsidR="00964877" w:rsidRDefault="0096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77" w:rsidRDefault="00964877" w:rsidP="00362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877" w:rsidRDefault="009648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77" w:rsidRDefault="00964877" w:rsidP="00362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9CF">
      <w:rPr>
        <w:rStyle w:val="PageNumber"/>
        <w:noProof/>
      </w:rPr>
      <w:t>5</w:t>
    </w:r>
    <w:r>
      <w:rPr>
        <w:rStyle w:val="PageNumber"/>
      </w:rPr>
      <w:fldChar w:fldCharType="end"/>
    </w:r>
  </w:p>
  <w:p w:rsidR="00964877" w:rsidRDefault="009648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77" w:rsidRDefault="00964877">
      <w:r>
        <w:separator/>
      </w:r>
    </w:p>
  </w:footnote>
  <w:footnote w:type="continuationSeparator" w:id="0">
    <w:p w:rsidR="00964877" w:rsidRDefault="0096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4B5"/>
    <w:multiLevelType w:val="hybridMultilevel"/>
    <w:tmpl w:val="6F86E7CA"/>
    <w:lvl w:ilvl="0" w:tplc="DC24DC84">
      <w:start w:val="196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C4B0C"/>
    <w:multiLevelType w:val="hybridMultilevel"/>
    <w:tmpl w:val="C5C23CA6"/>
    <w:lvl w:ilvl="0" w:tplc="6536597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B"/>
    <w:rsid w:val="0001106E"/>
    <w:rsid w:val="0001577A"/>
    <w:rsid w:val="0003248C"/>
    <w:rsid w:val="0005731D"/>
    <w:rsid w:val="00070B2F"/>
    <w:rsid w:val="000838BC"/>
    <w:rsid w:val="00084C7D"/>
    <w:rsid w:val="00090486"/>
    <w:rsid w:val="000F7BE6"/>
    <w:rsid w:val="00100731"/>
    <w:rsid w:val="00100BC8"/>
    <w:rsid w:val="00102CF7"/>
    <w:rsid w:val="00104E97"/>
    <w:rsid w:val="001165B4"/>
    <w:rsid w:val="00116F40"/>
    <w:rsid w:val="00150B65"/>
    <w:rsid w:val="001542AC"/>
    <w:rsid w:val="00157922"/>
    <w:rsid w:val="001665DD"/>
    <w:rsid w:val="00172999"/>
    <w:rsid w:val="0017641C"/>
    <w:rsid w:val="001A75A6"/>
    <w:rsid w:val="001B24E8"/>
    <w:rsid w:val="001B2E61"/>
    <w:rsid w:val="001B2FA1"/>
    <w:rsid w:val="001C1140"/>
    <w:rsid w:val="001C3E77"/>
    <w:rsid w:val="001E5AAC"/>
    <w:rsid w:val="002545C8"/>
    <w:rsid w:val="00264668"/>
    <w:rsid w:val="002674FA"/>
    <w:rsid w:val="00275D40"/>
    <w:rsid w:val="00286718"/>
    <w:rsid w:val="002B32FE"/>
    <w:rsid w:val="002C13C3"/>
    <w:rsid w:val="002E7597"/>
    <w:rsid w:val="002F7C7C"/>
    <w:rsid w:val="00302CBF"/>
    <w:rsid w:val="00313D87"/>
    <w:rsid w:val="00322014"/>
    <w:rsid w:val="0032478A"/>
    <w:rsid w:val="003267EB"/>
    <w:rsid w:val="00335181"/>
    <w:rsid w:val="0033614F"/>
    <w:rsid w:val="003535F5"/>
    <w:rsid w:val="00362CB9"/>
    <w:rsid w:val="00365BEA"/>
    <w:rsid w:val="003743DC"/>
    <w:rsid w:val="00385A29"/>
    <w:rsid w:val="0038724B"/>
    <w:rsid w:val="0039452A"/>
    <w:rsid w:val="003B35B3"/>
    <w:rsid w:val="003B5D44"/>
    <w:rsid w:val="003D539B"/>
    <w:rsid w:val="003F037D"/>
    <w:rsid w:val="003F58E1"/>
    <w:rsid w:val="00411847"/>
    <w:rsid w:val="0042272D"/>
    <w:rsid w:val="00424F80"/>
    <w:rsid w:val="00430DE5"/>
    <w:rsid w:val="00441D3A"/>
    <w:rsid w:val="00447CA2"/>
    <w:rsid w:val="00473338"/>
    <w:rsid w:val="004A7298"/>
    <w:rsid w:val="004A757A"/>
    <w:rsid w:val="004B7D37"/>
    <w:rsid w:val="004E4BD8"/>
    <w:rsid w:val="004F35E4"/>
    <w:rsid w:val="004F3E8D"/>
    <w:rsid w:val="00505671"/>
    <w:rsid w:val="00507793"/>
    <w:rsid w:val="00513D68"/>
    <w:rsid w:val="00514D47"/>
    <w:rsid w:val="00515FD9"/>
    <w:rsid w:val="0051707B"/>
    <w:rsid w:val="00527766"/>
    <w:rsid w:val="00540AF0"/>
    <w:rsid w:val="00541474"/>
    <w:rsid w:val="005447DF"/>
    <w:rsid w:val="005630EA"/>
    <w:rsid w:val="005634DC"/>
    <w:rsid w:val="00592F17"/>
    <w:rsid w:val="005A2F1D"/>
    <w:rsid w:val="005A33AB"/>
    <w:rsid w:val="005B4054"/>
    <w:rsid w:val="005C4C32"/>
    <w:rsid w:val="005D4FDA"/>
    <w:rsid w:val="005D59E9"/>
    <w:rsid w:val="005F0945"/>
    <w:rsid w:val="00600D24"/>
    <w:rsid w:val="006064E5"/>
    <w:rsid w:val="00623463"/>
    <w:rsid w:val="00630FBD"/>
    <w:rsid w:val="00643A08"/>
    <w:rsid w:val="006A36E2"/>
    <w:rsid w:val="006D0502"/>
    <w:rsid w:val="006D3FB2"/>
    <w:rsid w:val="006D67A6"/>
    <w:rsid w:val="006D7AD6"/>
    <w:rsid w:val="006F1FB7"/>
    <w:rsid w:val="006F4205"/>
    <w:rsid w:val="007039CF"/>
    <w:rsid w:val="007174B5"/>
    <w:rsid w:val="00720E6A"/>
    <w:rsid w:val="007213C6"/>
    <w:rsid w:val="00726AF0"/>
    <w:rsid w:val="00752AE1"/>
    <w:rsid w:val="00762DE7"/>
    <w:rsid w:val="007734B8"/>
    <w:rsid w:val="00780034"/>
    <w:rsid w:val="00784A64"/>
    <w:rsid w:val="007855B8"/>
    <w:rsid w:val="007A6591"/>
    <w:rsid w:val="007B4134"/>
    <w:rsid w:val="007D3507"/>
    <w:rsid w:val="007E330C"/>
    <w:rsid w:val="007E5D1A"/>
    <w:rsid w:val="007F6193"/>
    <w:rsid w:val="007F71E5"/>
    <w:rsid w:val="00801111"/>
    <w:rsid w:val="00802CC1"/>
    <w:rsid w:val="008146FA"/>
    <w:rsid w:val="00827317"/>
    <w:rsid w:val="0083221C"/>
    <w:rsid w:val="008436DB"/>
    <w:rsid w:val="00851662"/>
    <w:rsid w:val="00874E1F"/>
    <w:rsid w:val="00876902"/>
    <w:rsid w:val="008815C8"/>
    <w:rsid w:val="00890652"/>
    <w:rsid w:val="008B2F2F"/>
    <w:rsid w:val="008D0030"/>
    <w:rsid w:val="008D7C21"/>
    <w:rsid w:val="008F27B5"/>
    <w:rsid w:val="008F2B0C"/>
    <w:rsid w:val="0093328F"/>
    <w:rsid w:val="009471D4"/>
    <w:rsid w:val="00952229"/>
    <w:rsid w:val="00960F92"/>
    <w:rsid w:val="00964877"/>
    <w:rsid w:val="009716D9"/>
    <w:rsid w:val="00973A07"/>
    <w:rsid w:val="009A2683"/>
    <w:rsid w:val="009C7CA2"/>
    <w:rsid w:val="009D7F30"/>
    <w:rsid w:val="009E6AE9"/>
    <w:rsid w:val="00A21969"/>
    <w:rsid w:val="00A331B8"/>
    <w:rsid w:val="00A339E5"/>
    <w:rsid w:val="00A35938"/>
    <w:rsid w:val="00A35F7D"/>
    <w:rsid w:val="00A427F3"/>
    <w:rsid w:val="00AA462A"/>
    <w:rsid w:val="00AA5C2E"/>
    <w:rsid w:val="00AA635A"/>
    <w:rsid w:val="00AB76D3"/>
    <w:rsid w:val="00AC394F"/>
    <w:rsid w:val="00AC6B9F"/>
    <w:rsid w:val="00AF1C3F"/>
    <w:rsid w:val="00B03C83"/>
    <w:rsid w:val="00B22D34"/>
    <w:rsid w:val="00B26E9A"/>
    <w:rsid w:val="00B500FC"/>
    <w:rsid w:val="00B5483A"/>
    <w:rsid w:val="00B657B8"/>
    <w:rsid w:val="00BA4046"/>
    <w:rsid w:val="00BC5761"/>
    <w:rsid w:val="00BC776B"/>
    <w:rsid w:val="00BF49FB"/>
    <w:rsid w:val="00C113B6"/>
    <w:rsid w:val="00C14918"/>
    <w:rsid w:val="00C168FF"/>
    <w:rsid w:val="00C30DEB"/>
    <w:rsid w:val="00C404C2"/>
    <w:rsid w:val="00C42D12"/>
    <w:rsid w:val="00C527AB"/>
    <w:rsid w:val="00C84EB0"/>
    <w:rsid w:val="00C85AA8"/>
    <w:rsid w:val="00C93B69"/>
    <w:rsid w:val="00CA2DFA"/>
    <w:rsid w:val="00CB4445"/>
    <w:rsid w:val="00CE0388"/>
    <w:rsid w:val="00CE1798"/>
    <w:rsid w:val="00CE27B7"/>
    <w:rsid w:val="00CF331D"/>
    <w:rsid w:val="00D018FF"/>
    <w:rsid w:val="00D03D6B"/>
    <w:rsid w:val="00D1122F"/>
    <w:rsid w:val="00D15EDF"/>
    <w:rsid w:val="00D24969"/>
    <w:rsid w:val="00D30CBC"/>
    <w:rsid w:val="00D45B5F"/>
    <w:rsid w:val="00D64688"/>
    <w:rsid w:val="00D73008"/>
    <w:rsid w:val="00D81F99"/>
    <w:rsid w:val="00D87F6D"/>
    <w:rsid w:val="00DB3925"/>
    <w:rsid w:val="00DB7D3F"/>
    <w:rsid w:val="00DC1734"/>
    <w:rsid w:val="00DC3BB2"/>
    <w:rsid w:val="00DE0042"/>
    <w:rsid w:val="00DE1783"/>
    <w:rsid w:val="00DE4921"/>
    <w:rsid w:val="00DF0E70"/>
    <w:rsid w:val="00DF2E02"/>
    <w:rsid w:val="00E06419"/>
    <w:rsid w:val="00E22CB5"/>
    <w:rsid w:val="00E318C3"/>
    <w:rsid w:val="00E402F8"/>
    <w:rsid w:val="00E420DA"/>
    <w:rsid w:val="00E502AF"/>
    <w:rsid w:val="00E9699D"/>
    <w:rsid w:val="00E97E60"/>
    <w:rsid w:val="00EA14B4"/>
    <w:rsid w:val="00EB331E"/>
    <w:rsid w:val="00EE17BE"/>
    <w:rsid w:val="00EE59EF"/>
    <w:rsid w:val="00EE7288"/>
    <w:rsid w:val="00EF6E5A"/>
    <w:rsid w:val="00F107B7"/>
    <w:rsid w:val="00F20D99"/>
    <w:rsid w:val="00F27D11"/>
    <w:rsid w:val="00F43239"/>
    <w:rsid w:val="00F71EA4"/>
    <w:rsid w:val="00F733FB"/>
    <w:rsid w:val="00F8057D"/>
    <w:rsid w:val="00F86442"/>
    <w:rsid w:val="00F8673E"/>
    <w:rsid w:val="00FB731E"/>
    <w:rsid w:val="00FD0098"/>
    <w:rsid w:val="00FE03B7"/>
    <w:rsid w:val="00FE0A27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4F"/>
    <w:pPr>
      <w:spacing w:after="200" w:line="276" w:lineRule="auto"/>
    </w:pPr>
    <w:rPr>
      <w:rFonts w:cs="Times New Roman"/>
      <w:lang w:val="es-ES"/>
    </w:rPr>
  </w:style>
  <w:style w:type="paragraph" w:styleId="Heading1">
    <w:name w:val="heading 1"/>
    <w:basedOn w:val="Normal"/>
    <w:link w:val="Heading1Char"/>
    <w:uiPriority w:val="99"/>
    <w:qFormat/>
    <w:rsid w:val="003F58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8E1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BodyText">
    <w:name w:val="Body Text"/>
    <w:basedOn w:val="Normal"/>
    <w:link w:val="BodyTextChar"/>
    <w:uiPriority w:val="99"/>
    <w:rsid w:val="00A35938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593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3F5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F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8E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D7F30"/>
    <w:rPr>
      <w:rFonts w:cs="Times New Roman"/>
      <w:lang w:val="es-ES"/>
    </w:rPr>
  </w:style>
  <w:style w:type="paragraph" w:styleId="ListParagraph">
    <w:name w:val="List Paragraph"/>
    <w:basedOn w:val="Normal"/>
    <w:uiPriority w:val="99"/>
    <w:qFormat/>
    <w:rsid w:val="00C113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32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14F"/>
    <w:rPr>
      <w:rFonts w:cs="Times New Roman"/>
      <w:lang w:val="es-ES" w:eastAsia="en-US"/>
    </w:rPr>
  </w:style>
  <w:style w:type="character" w:styleId="PageNumber">
    <w:name w:val="page number"/>
    <w:basedOn w:val="DefaultParagraphFont"/>
    <w:uiPriority w:val="99"/>
    <w:rsid w:val="0093328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0C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0CBC"/>
    <w:rPr>
      <w:rFonts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4F"/>
    <w:pPr>
      <w:spacing w:after="200" w:line="276" w:lineRule="auto"/>
    </w:pPr>
    <w:rPr>
      <w:rFonts w:cs="Times New Roman"/>
      <w:lang w:val="es-ES"/>
    </w:rPr>
  </w:style>
  <w:style w:type="paragraph" w:styleId="Heading1">
    <w:name w:val="heading 1"/>
    <w:basedOn w:val="Normal"/>
    <w:link w:val="Heading1Char"/>
    <w:uiPriority w:val="99"/>
    <w:qFormat/>
    <w:rsid w:val="003F58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8E1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BodyText">
    <w:name w:val="Body Text"/>
    <w:basedOn w:val="Normal"/>
    <w:link w:val="BodyTextChar"/>
    <w:uiPriority w:val="99"/>
    <w:rsid w:val="00A35938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593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3F5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F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8E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D7F30"/>
    <w:rPr>
      <w:rFonts w:cs="Times New Roman"/>
      <w:lang w:val="es-ES"/>
    </w:rPr>
  </w:style>
  <w:style w:type="paragraph" w:styleId="ListParagraph">
    <w:name w:val="List Paragraph"/>
    <w:basedOn w:val="Normal"/>
    <w:uiPriority w:val="99"/>
    <w:qFormat/>
    <w:rsid w:val="00C113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32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14F"/>
    <w:rPr>
      <w:rFonts w:cs="Times New Roman"/>
      <w:lang w:val="es-ES" w:eastAsia="en-US"/>
    </w:rPr>
  </w:style>
  <w:style w:type="character" w:styleId="PageNumber">
    <w:name w:val="page number"/>
    <w:basedOn w:val="DefaultParagraphFont"/>
    <w:uiPriority w:val="99"/>
    <w:rsid w:val="0093328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0C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0CBC"/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iki.seguido.net/images/5/5b/Mu%C3%B1ec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http://es.metapedia.org/m/images/a/a1/Jose_Utrera_Molin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1797</Words>
  <Characters>10245</Characters>
  <Application>Microsoft Macintosh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Juez:</dc:title>
  <dc:subject/>
  <dc:creator>carlos</dc:creator>
  <cp:keywords/>
  <dc:description/>
  <cp:lastModifiedBy>Manuela Bergerot</cp:lastModifiedBy>
  <cp:revision>2</cp:revision>
  <cp:lastPrinted>2013-03-14T13:23:00Z</cp:lastPrinted>
  <dcterms:created xsi:type="dcterms:W3CDTF">2013-03-22T23:10:00Z</dcterms:created>
  <dcterms:modified xsi:type="dcterms:W3CDTF">2013-03-22T23:10:00Z</dcterms:modified>
</cp:coreProperties>
</file>